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center"/>
        <w:spacing w:lineRule="exact" w:line="500" w:before="0" w:after="160"/>
        <w:pageBreakBefore w:val="0"/>
        <w:ind w:right="0" w:firstLine="0"/>
        <w:rPr>
          <w:b w:val="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基层党建研究课题选题指南</w:t>
      </w:r>
    </w:p>
    <w:p>
      <w:pPr>
        <w:pStyle w:val="PO5"/>
        <w:bidi w:val="0"/>
        <w:numPr>
          <w:ilvl w:val="0"/>
          <w:numId w:val="0"/>
        </w:numPr>
        <w:jc w:val="both"/>
        <w:spacing w:lineRule="auto" w:line="72" w:before="0" w:after="0"/>
        <w:pageBreakBefore w:val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snapToGrid w:val="on"/>
        <w:autoSpaceDE w:val="1"/>
        <w:autoSpaceDN w:val="1"/>
      </w:pPr>
    </w:p>
    <w:p>
      <w:pPr>
        <w:pStyle w:val="PO5"/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snapToGrid w:val="on"/>
        <w:autoSpaceDE w:val="1"/>
        <w:autoSpaceDN w:val="1"/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1.习近平总书记关于党的政治建设重要思想研究</w:t>
      </w:r>
    </w:p>
    <w:p>
      <w:pPr>
        <w:pStyle w:val="PO5"/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snapToGrid w:val="on"/>
        <w:autoSpaceDE w:val="1"/>
        <w:autoSpaceDN w:val="1"/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2.践行新时代党的组织路线实现路径及方法研究</w:t>
      </w:r>
    </w:p>
    <w:p>
      <w:pPr>
        <w:pStyle w:val="PO5"/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snapToGrid w:val="on"/>
        <w:autoSpaceDE w:val="1"/>
        <w:autoSpaceDN w:val="1"/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3.高素质、专业化党务组织员工作队伍建设研究</w:t>
      </w:r>
    </w:p>
    <w:p>
      <w:pPr>
        <w:pStyle w:val="PO5"/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snapToGrid w:val="on"/>
        <w:autoSpaceDE w:val="1"/>
        <w:autoSpaceDN w:val="1"/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4.校企党建联合育人研究</w:t>
      </w:r>
    </w:p>
    <w:p>
      <w:pPr>
        <w:pStyle w:val="PO5"/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snapToGrid w:val="on"/>
        <w:autoSpaceDE w:val="1"/>
        <w:autoSpaceDN w:val="1"/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5.党建引领“三全育人”耦合路径研究</w:t>
      </w:r>
    </w:p>
    <w:p>
      <w:pPr>
        <w:pStyle w:val="PO5"/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snapToGrid w:val="on"/>
        <w:autoSpaceDE w:val="1"/>
        <w:autoSpaceDN w:val="1"/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6.党建工作精品项目建设实践研究</w:t>
      </w:r>
    </w:p>
    <w:p>
      <w:pPr>
        <w:pStyle w:val="PO5"/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snapToGrid w:val="on"/>
        <w:autoSpaceDE w:val="1"/>
        <w:autoSpaceDN w:val="1"/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7.新时代智慧党建平台建设研究</w:t>
      </w:r>
    </w:p>
    <w:p>
      <w:pPr>
        <w:pStyle w:val="PO5"/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snapToGrid w:val="on"/>
        <w:autoSpaceDE w:val="1"/>
        <w:autoSpaceDN w:val="1"/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8.疫情防控形势下基层党组织作用发挥机制和平台研究</w:t>
      </w:r>
    </w:p>
    <w:p>
      <w:pPr>
        <w:pStyle w:val="PO5"/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snapToGrid w:val="on"/>
        <w:autoSpaceDE w:val="1"/>
        <w:autoSpaceDN w:val="1"/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9.增强组织生活（主题党日）有效性研究</w:t>
      </w:r>
    </w:p>
    <w:p>
      <w:pPr>
        <w:pStyle w:val="PO5"/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snapToGrid w:val="on"/>
        <w:autoSpaceDE w:val="1"/>
        <w:autoSpaceDN w:val="1"/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10.媒体融合背景下基层党组织改进党的理论学习机制研究</w:t>
      </w:r>
    </w:p>
    <w:p>
      <w:pPr>
        <w:pStyle w:val="PO5"/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snapToGrid w:val="on"/>
        <w:autoSpaceDE w:val="1"/>
        <w:autoSpaceDN w:val="1"/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11.严格党员教育监督管理研究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12.建立不忘初心、牢记使命长效机制研究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13.党组织引领提升基层治理研究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12.党支部在基层工作中“唱主角”的实践研究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13.“双一流”建设背景下强化党员使命感研究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14.高素质、专业化党务工作队伍建设研究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15.教师党支部书记双带头人培育工作研究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16.校院红色资源挖掘及其育人功能研究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17.提高基层党组织党课质量研究</w:t>
      </w:r>
    </w:p>
    <w:p>
      <w:pPr>
        <w:pStyle w:val="PO5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18.基层党组织书记述职评议考核指标研究</w:t>
      </w:r>
    </w:p>
    <w:p>
      <w:pPr>
        <w:pStyle w:val="PO5"/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snapToGrid w:val="on"/>
        <w:autoSpaceDE w:val="1"/>
        <w:autoSpaceDN w:val="1"/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19.推动全面从严治党主体责任向基层有效延伸研究</w:t>
      </w:r>
    </w:p>
    <w:p>
      <w:pPr>
        <w:pStyle w:val="PO5"/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snapToGrid w:val="on"/>
        <w:autoSpaceDE w:val="1"/>
        <w:autoSpaceDN w:val="1"/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20.严把发展党员政治关研究</w:t>
      </w:r>
    </w:p>
    <w:p>
      <w:pPr>
        <w:pStyle w:val="PO5"/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snapToGrid w:val="on"/>
        <w:autoSpaceDE w:val="1"/>
        <w:autoSpaceDN w:val="1"/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21.提高基层党内政治生活质量研究</w:t>
      </w:r>
    </w:p>
    <w:p>
      <w:pPr>
        <w:pStyle w:val="PO5"/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snapToGrid w:val="on"/>
        <w:autoSpaceDE w:val="1"/>
        <w:autoSpaceDN w:val="1"/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22.强化基层党组织政治功能研究</w:t>
      </w:r>
    </w:p>
    <w:p>
      <w:pPr>
        <w:pStyle w:val="PO5"/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snapToGrid w:val="on"/>
        <w:autoSpaceDE w:val="1"/>
        <w:autoSpaceDN w:val="1"/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23.重大疫情中基层党组织引领志愿服务实践路径研究</w:t>
      </w:r>
    </w:p>
    <w:p>
      <w:pPr>
        <w:pStyle w:val="PO5"/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snapToGrid w:val="on"/>
        <w:autoSpaceDE w:val="1"/>
        <w:autoSpaceDN w:val="1"/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24.提升基层党建工作实效性研究</w:t>
      </w:r>
    </w:p>
    <w:p>
      <w:pPr>
        <w:pStyle w:val="PO5"/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snapToGrid w:val="on"/>
        <w:autoSpaceDE w:val="1"/>
        <w:autoSpaceDN w:val="1"/>
      </w:pPr>
      <w:r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t>25.提高发展党员质量研究</w:t>
      </w:r>
    </w:p>
    <w:p>
      <w:pPr>
        <w:pStyle w:val="PO5"/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snapToGrid w:val="on"/>
        <w:autoSpaceDE w:val="1"/>
        <w:autoSpaceDN w:val="1"/>
      </w:pPr>
    </w:p>
    <w:p>
      <w:pPr>
        <w:pStyle w:val="PO5"/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5"/>
          <w:color w:val="auto"/>
          <w:position w:val="0"/>
          <w:sz w:val="28"/>
          <w:szCs w:val="28"/>
          <w:rFonts w:ascii="仿宋" w:eastAsia="仿宋" w:hAnsi="仿宋" w:hint="default"/>
        </w:rPr>
        <w:wordWrap w:val="off"/>
        <w:snapToGrid w:val="on"/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</w:style>
  <w:style w:default="1" w:styleId="PO3" w:type="table">
    <w:name w:val="Normal Table"/>
    <w:qFormat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151" w:type="paragraph">
    <w:name w:val="footer"/>
    <w:basedOn w:val="PO1"/>
    <w:qFormat/>
    <w:uiPriority w:val="151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2020-08-10T04:40:21Z</dcterms:modified>
</cp:coreProperties>
</file>